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480" w:firstLineChars="200"/>
        <w:rPr>
          <w:rFonts w:ascii="Times New Roman" w:hAnsi="Times New Roman"/>
          <w:sz w:val="24"/>
          <w:szCs w:val="24"/>
        </w:rPr>
      </w:pPr>
      <w:r>
        <w:rPr>
          <w:rFonts w:ascii="Times New Roman" w:hAnsi="Times New Roman"/>
          <w:sz w:val="24"/>
          <w:szCs w:val="24"/>
        </w:rPr>
        <w:t>场地雨水综合利用方案</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LID雨水系统概述及流程</w:t>
      </w: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系统概述：</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项目区域内设置透水铺装、绿色屋顶、雨水花园和植草沟等LID设施，LID设施下方设置盲管。雨水通过有组织的汇流与传输引入LID设 施内，通过渗透、存储、调节后消纳自身周边区域径流雨水、并衔接区域内的雨水系统和超标雨水径流排放系统，达到项目年径流总量的控制目标，同时可提高区域内涝防治能力。拟采用的技术流程如下：</w:t>
      </w:r>
    </w:p>
    <w:p>
      <w:pPr>
        <w:pStyle w:val="2"/>
        <w:spacing w:line="360" w:lineRule="auto"/>
        <w:ind w:firstLine="480" w:firstLineChars="200"/>
        <w:rPr>
          <w:rFonts w:hint="eastAsia" w:asciiTheme="minorEastAsia" w:hAnsiTheme="minorEastAsia" w:eastAsiaTheme="minorEastAsia" w:cstheme="minorEastAsia"/>
          <w:sz w:val="24"/>
          <w:szCs w:val="24"/>
        </w:rPr>
      </w:pPr>
    </w:p>
    <w:p>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INCLUDEPICTURE \d "C:\\Documents and Settings\\Administrator\\Application Data\\Tencent\\Users\\170430077\\QQ\\WinTemp\\RichOle\\J1W$RRMTBS_LIA5[H@69)55.png" \* MERGEFORMATINET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drawing>
          <wp:inline distT="0" distB="0" distL="114300" distR="114300">
            <wp:extent cx="6115050" cy="2638425"/>
            <wp:effectExtent l="0" t="0" r="0" b="9525"/>
            <wp:docPr id="24"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descr="IMG_256"/>
                    <pic:cNvPicPr>
                      <a:picLocks noChangeAspect="1"/>
                    </pic:cNvPicPr>
                  </pic:nvPicPr>
                  <pic:blipFill>
                    <a:blip r:embed="rId4" cstate="print"/>
                    <a:stretch>
                      <a:fillRect/>
                    </a:stretch>
                  </pic:blipFill>
                  <pic:spPr>
                    <a:xfrm>
                      <a:off x="0" y="0"/>
                      <a:ext cx="6115050" cy="2638425"/>
                    </a:xfrm>
                    <a:prstGeom prst="rect">
                      <a:avLst/>
                    </a:prstGeom>
                    <a:noFill/>
                    <a:ln w="9525">
                      <a:noFill/>
                    </a:ln>
                  </pic:spPr>
                </pic:pic>
              </a:graphicData>
            </a:graphic>
          </wp:inline>
        </w:drawing>
      </w:r>
      <w:r>
        <w:rPr>
          <w:rFonts w:hint="eastAsia" w:asciiTheme="minorEastAsia" w:hAnsiTheme="minorEastAsia" w:eastAsiaTheme="minorEastAsia" w:cstheme="minorEastAsia"/>
          <w:sz w:val="24"/>
          <w:szCs w:val="24"/>
        </w:rPr>
        <w:fldChar w:fldCharType="end"/>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LID设施布置平面图</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根据本项目建筑雨水排水系统、室外雨水排水系统等实际情况，本项目年径流总量控制容积采用雨水花园、透水铺装得以实现经计算各地块实际控制容积大于需求控制容积，年径流控制率</w:t>
      </w: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%，年径流污染物去除率</w:t>
      </w:r>
      <w:r>
        <w:rPr>
          <w:rFonts w:hint="eastAsia" w:asciiTheme="minorEastAsia" w:hAnsiTheme="minorEastAsia" w:eastAsiaTheme="minorEastAsia" w:cstheme="minorEastAsia"/>
          <w:sz w:val="24"/>
          <w:szCs w:val="24"/>
          <w:lang w:val="en-US" w:eastAsia="zh-CN"/>
        </w:rPr>
        <w:t>65.18</w:t>
      </w:r>
      <w:r>
        <w:rPr>
          <w:rFonts w:hint="eastAsia" w:asciiTheme="minorEastAsia" w:hAnsiTheme="minorEastAsia" w:eastAsiaTheme="minorEastAsia" w:cstheme="minorEastAsia"/>
          <w:sz w:val="24"/>
          <w:szCs w:val="24"/>
        </w:rPr>
        <w:t>%，满足设计要求。</w:t>
      </w:r>
    </w:p>
    <w:p>
      <w:pPr>
        <w:pStyle w:val="2"/>
        <w:numPr>
          <w:ilvl w:val="0"/>
          <w:numId w:val="1"/>
        </w:numPr>
        <w:spacing w:line="360" w:lineRule="auto"/>
        <w:ind w:firstLine="480" w:firstLineChars="200"/>
        <w:rPr>
          <w:rFonts w:asciiTheme="minorEastAsia" w:hAnsiTheme="minorEastAsia" w:eastAsiaTheme="minorEastAsia" w:cstheme="minorEastAsia"/>
          <w:sz w:val="24"/>
          <w:szCs w:val="24"/>
        </w:rPr>
      </w:pPr>
      <w:bookmarkStart w:id="0" w:name="_Toc25923"/>
      <w:bookmarkStart w:id="1" w:name="_Toc30587"/>
      <w:r>
        <w:rPr>
          <w:rFonts w:hint="eastAsia" w:asciiTheme="minorEastAsia" w:hAnsiTheme="minorEastAsia" w:eastAsiaTheme="minorEastAsia" w:cstheme="minorEastAsia"/>
          <w:sz w:val="24"/>
          <w:szCs w:val="24"/>
        </w:rPr>
        <w:t>LID设施的</w:t>
      </w:r>
      <w:bookmarkEnd w:id="0"/>
      <w:bookmarkEnd w:id="1"/>
      <w:r>
        <w:rPr>
          <w:rFonts w:hint="eastAsia" w:asciiTheme="minorEastAsia" w:hAnsiTheme="minorEastAsia" w:eastAsiaTheme="minorEastAsia" w:cstheme="minorEastAsia"/>
          <w:sz w:val="24"/>
          <w:szCs w:val="24"/>
          <w:lang w:val="en-US" w:eastAsia="zh-CN"/>
        </w:rPr>
        <w:t>控制过程</w:t>
      </w:r>
    </w:p>
    <w:p>
      <w:pPr>
        <w:pStyle w:val="2"/>
        <w:numPr>
          <w:ilvl w:val="0"/>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由于本项目为学校项目，根据地形条件设</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个汇水分区，建筑布置拟采用雨水花园、透水铺装、绿色屋顶等设施。</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雨水花园</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利用在其中种植植物，通过植物截流、土壤过滤滞留处理径流雨水，并可对处理后雨水加以收集利用的措施。一般由表面雨水滞留层、种植土壤覆盖层、植被及种植土层、砂滤层和雨水收集等部分组成；其调蓄雨水的有效深度按200—300mm计算。</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透水铺装/可渗透铺装</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有效降低不透水面积，增加雨水渗透，同时对径流水质具有一定的处理效果。目前有各种产品可替代传统沥青、水泥铺设路面，比如水泥孔砖或网格砖、塑料网格砖、透水沥青、透水水泥等。不同类型的透水砖和不同的铺设方法可产生不同的雨水滞留率和污染物去除率，包括对总石油类等污染物的生物降解。透水路面适合在交通流量较低如停车场、便道等区域使用。</w:t>
      </w:r>
    </w:p>
    <w:p>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绿色屋顶</w:t>
      </w:r>
    </w:p>
    <w:p>
      <w:pPr>
        <w:numPr>
          <w:ilvl w:val="0"/>
          <w:numId w:val="0"/>
        </w:numPr>
        <w:autoSpaceDE w:val="0"/>
        <w:autoSpaceDN w:val="0"/>
        <w:adjustRightInd w:val="0"/>
        <w:spacing w:line="400" w:lineRule="exact"/>
        <w:ind w:leftChars="0"/>
        <w:rPr>
          <w:rFonts w:ascii="Times New Roman" w:hAnsi="Times New Roman"/>
          <w:kern w:val="0"/>
          <w:sz w:val="24"/>
          <w:szCs w:val="24"/>
        </w:rPr>
      </w:pPr>
      <w:r>
        <w:rPr>
          <w:rFonts w:hint="eastAsia" w:asciiTheme="minorEastAsia" w:hAnsiTheme="minorEastAsia" w:eastAsiaTheme="minorEastAsia" w:cstheme="minorEastAsia"/>
          <w:color w:val="auto"/>
        </w:rPr>
        <w:t>绿色屋顶结构分植被层、种植土层、过滤层等。通过种植草本科植被，可以达到吸收雨水、减少噪音灰尘、调节室内温度等功能。绿色屋顶采用模块化轻型屋顶。</w:t>
      </w:r>
      <w:r>
        <w:rPr>
          <w:rFonts w:hint="eastAsia" w:asciiTheme="minorEastAsia" w:hAnsiTheme="minorEastAsia" w:eastAsiaTheme="minorEastAsia" w:cstheme="minorEastAsia"/>
          <w:color w:val="auto"/>
          <w:lang w:val="en-US" w:eastAsia="zh-CN"/>
        </w:rPr>
        <w:t>本工程建筑硬质屋面除连廊处等不容易</w:t>
      </w:r>
      <w:r>
        <w:rPr>
          <w:rFonts w:ascii="Times New Roman" w:hAnsi="Times New Roman"/>
          <w:kern w:val="0"/>
          <w:sz w:val="24"/>
          <w:szCs w:val="24"/>
        </w:rPr>
        <w:t>不少于80％的屋面雨水进入地面生态设施”为不透水屋面，或扣除绿色屋顶等透水性屋面。</w:t>
      </w:r>
    </w:p>
    <w:p/>
    <w:p>
      <w:pPr>
        <w:rPr>
          <w:rFonts w:hint="eastAsia"/>
          <w:kern w:val="0"/>
          <w:sz w:val="24"/>
          <w:szCs w:val="24"/>
          <w:lang w:val="en-US" w:eastAsia="zh-CN"/>
        </w:rPr>
      </w:pPr>
      <w:r>
        <w:rPr>
          <w:rFonts w:hint="eastAsia"/>
          <w:kern w:val="0"/>
          <w:sz w:val="24"/>
          <w:szCs w:val="24"/>
          <w:lang w:val="en-US" w:eastAsia="zh-CN"/>
        </w:rPr>
        <w:t>本工程中，扣除透水铺装后，道路雨水</w:t>
      </w:r>
      <w:r>
        <w:rPr>
          <w:rFonts w:ascii="Times New Roman" w:hAnsi="Times New Roman"/>
          <w:kern w:val="0"/>
          <w:sz w:val="24"/>
          <w:szCs w:val="24"/>
        </w:rPr>
        <w:t>不少于80％的</w:t>
      </w:r>
      <w:r>
        <w:rPr>
          <w:rFonts w:hint="eastAsia"/>
          <w:kern w:val="0"/>
          <w:sz w:val="24"/>
          <w:szCs w:val="24"/>
          <w:lang w:val="en-US" w:eastAsia="zh-CN"/>
        </w:rPr>
        <w:t>进入雨水花园处理。</w:t>
      </w:r>
    </w:p>
    <w:p>
      <w:pPr>
        <w:numPr>
          <w:ilvl w:val="0"/>
          <w:numId w:val="1"/>
        </w:numPr>
        <w:ind w:left="0" w:leftChars="0" w:firstLine="480" w:firstLineChars="200"/>
        <w:rPr>
          <w:rFonts w:hint="eastAsia"/>
          <w:kern w:val="0"/>
          <w:sz w:val="24"/>
          <w:szCs w:val="24"/>
          <w:lang w:val="en-US" w:eastAsia="zh-CN"/>
        </w:rPr>
      </w:pPr>
      <w:r>
        <w:rPr>
          <w:rFonts w:hint="eastAsia"/>
          <w:kern w:val="0"/>
          <w:sz w:val="24"/>
          <w:szCs w:val="24"/>
          <w:lang w:val="en-US" w:eastAsia="zh-CN"/>
        </w:rPr>
        <w:t>结论</w:t>
      </w:r>
    </w:p>
    <w:p>
      <w:pPr>
        <w:pStyle w:val="2"/>
        <w:spacing w:line="360" w:lineRule="auto"/>
        <w:ind w:firstLine="480" w:firstLineChars="200"/>
        <w:rPr>
          <w:rFonts w:asciiTheme="minorEastAsia" w:hAnsiTheme="minorEastAsia" w:eastAsiaTheme="minorEastAsia" w:cstheme="minorEastAsia"/>
          <w:sz w:val="24"/>
          <w:szCs w:val="24"/>
        </w:rPr>
      </w:pPr>
      <w:r>
        <w:rPr>
          <w:rFonts w:hint="eastAsia"/>
          <w:kern w:val="0"/>
          <w:sz w:val="24"/>
          <w:szCs w:val="24"/>
          <w:lang w:val="en-US" w:eastAsia="zh-CN"/>
        </w:rPr>
        <w:t>本工程所采用的LID设施规模如下表所示。通过采取如下海绵措施后，本工程的</w:t>
      </w:r>
      <w:r>
        <w:rPr>
          <w:rFonts w:hint="eastAsia" w:asciiTheme="minorEastAsia" w:hAnsiTheme="minorEastAsia" w:eastAsiaTheme="minorEastAsia" w:cstheme="minorEastAsia"/>
          <w:sz w:val="24"/>
          <w:szCs w:val="24"/>
        </w:rPr>
        <w:t>年径流控制率</w:t>
      </w:r>
      <w:r>
        <w:rPr>
          <w:rFonts w:hint="eastAsia" w:asciiTheme="minorEastAsia" w:hAnsiTheme="minorEastAsia" w:eastAsiaTheme="minorEastAsia" w:cstheme="minorEastAsia"/>
          <w:sz w:val="24"/>
          <w:szCs w:val="24"/>
          <w:lang w:val="en-US" w:eastAsia="zh-CN"/>
        </w:rPr>
        <w:t>达到81</w:t>
      </w:r>
      <w:r>
        <w:rPr>
          <w:rFonts w:hint="eastAsia" w:asciiTheme="minorEastAsia" w:hAnsiTheme="minorEastAsia" w:eastAsiaTheme="minorEastAsia" w:cstheme="minorEastAsia"/>
          <w:sz w:val="24"/>
          <w:szCs w:val="24"/>
        </w:rPr>
        <w:t>%，年径流污染物去除率</w:t>
      </w:r>
      <w:r>
        <w:rPr>
          <w:rFonts w:hint="eastAsia" w:asciiTheme="minorEastAsia" w:hAnsiTheme="minorEastAsia" w:eastAsiaTheme="minorEastAsia" w:cstheme="minorEastAsia"/>
          <w:sz w:val="24"/>
          <w:szCs w:val="24"/>
          <w:lang w:val="en-US" w:eastAsia="zh-CN"/>
        </w:rPr>
        <w:t>达到65.18</w:t>
      </w:r>
      <w:r>
        <w:rPr>
          <w:rFonts w:hint="eastAsia" w:asciiTheme="minorEastAsia" w:hAnsiTheme="minorEastAsia" w:eastAsiaTheme="minorEastAsia" w:cstheme="minorEastAsia"/>
          <w:sz w:val="24"/>
          <w:szCs w:val="24"/>
        </w:rPr>
        <w:t>%，满足年径流控制率</w:t>
      </w:r>
      <w:r>
        <w:rPr>
          <w:rFonts w:hint="eastAsia" w:asciiTheme="minorEastAsia" w:hAnsiTheme="minorEastAsia" w:eastAsiaTheme="minorEastAsia" w:cstheme="minorEastAsia"/>
          <w:sz w:val="24"/>
          <w:szCs w:val="24"/>
          <w:lang w:val="en-US" w:eastAsia="zh-CN"/>
        </w:rPr>
        <w:t>不小于80</w:t>
      </w:r>
      <w:r>
        <w:rPr>
          <w:rFonts w:hint="eastAsia" w:asciiTheme="minorEastAsia" w:hAnsiTheme="minorEastAsia" w:eastAsiaTheme="minorEastAsia" w:cstheme="minorEastAsia"/>
          <w:sz w:val="24"/>
          <w:szCs w:val="24"/>
        </w:rPr>
        <w:t>%，年径流污染物去除率</w:t>
      </w:r>
      <w:r>
        <w:rPr>
          <w:rFonts w:hint="eastAsia" w:asciiTheme="minorEastAsia" w:hAnsiTheme="minorEastAsia" w:eastAsiaTheme="minorEastAsia" w:cstheme="minorEastAsia"/>
          <w:sz w:val="24"/>
          <w:szCs w:val="24"/>
          <w:lang w:val="en-US" w:eastAsia="zh-CN"/>
        </w:rPr>
        <w:t>不小于50</w:t>
      </w:r>
      <w:r>
        <w:rPr>
          <w:rFonts w:hint="eastAsia" w:asciiTheme="minorEastAsia" w:hAnsiTheme="minorEastAsia" w:eastAsiaTheme="minorEastAsia" w:cstheme="minorEastAsia"/>
          <w:sz w:val="24"/>
          <w:szCs w:val="24"/>
        </w:rPr>
        <w:t>%要求。</w:t>
      </w:r>
    </w:p>
    <w:p>
      <w:pPr>
        <w:numPr>
          <w:ilvl w:val="0"/>
          <w:numId w:val="0"/>
        </w:numPr>
        <w:ind w:leftChars="200"/>
        <w:rPr>
          <w:rFonts w:hint="default"/>
          <w:kern w:val="0"/>
          <w:sz w:val="24"/>
          <w:szCs w:val="24"/>
          <w:lang w:val="en-US" w:eastAsia="zh-CN"/>
        </w:rPr>
      </w:pPr>
    </w:p>
    <w:tbl>
      <w:tblPr>
        <w:tblStyle w:val="3"/>
        <w:tblW w:w="5000" w:type="pct"/>
        <w:tblInd w:w="0" w:type="dxa"/>
        <w:shd w:val="clear" w:color="auto" w:fill="auto"/>
        <w:tblLayout w:type="autofit"/>
        <w:tblCellMar>
          <w:top w:w="0" w:type="dxa"/>
          <w:left w:w="0" w:type="dxa"/>
          <w:bottom w:w="0" w:type="dxa"/>
          <w:right w:w="0" w:type="dxa"/>
        </w:tblCellMar>
      </w:tblPr>
      <w:tblGrid>
        <w:gridCol w:w="6039"/>
        <w:gridCol w:w="2297"/>
      </w:tblGrid>
      <w:tr>
        <w:tblPrEx>
          <w:shd w:val="clear" w:color="auto" w:fill="auto"/>
          <w:tblCellMar>
            <w:top w:w="0" w:type="dxa"/>
            <w:left w:w="0" w:type="dxa"/>
            <w:bottom w:w="0" w:type="dxa"/>
            <w:right w:w="0" w:type="dxa"/>
          </w:tblCellMar>
        </w:tblPrEx>
        <w:trPr>
          <w:trHeight w:val="3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b/>
                <w:i w:val="0"/>
                <w:color w:val="000000"/>
                <w:sz w:val="30"/>
                <w:szCs w:val="30"/>
                <w:u w:val="none"/>
              </w:rPr>
            </w:pPr>
            <w:r>
              <w:rPr>
                <w:rFonts w:hint="default" w:ascii="Tahoma" w:hAnsi="Tahoma" w:eastAsia="Tahoma" w:cs="Tahoma"/>
                <w:b/>
                <w:i w:val="0"/>
                <w:color w:val="000000"/>
                <w:kern w:val="0"/>
                <w:sz w:val="30"/>
                <w:szCs w:val="30"/>
                <w:u w:val="none"/>
                <w:lang w:val="en-US" w:eastAsia="zh-CN" w:bidi="ar"/>
              </w:rPr>
              <w:t>LID</w:t>
            </w:r>
            <w:r>
              <w:rPr>
                <w:rStyle w:val="6"/>
                <w:lang w:val="en-US" w:eastAsia="zh-CN" w:bidi="ar"/>
              </w:rPr>
              <w:t>设施一览表</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7"/>
                <w:lang w:val="en-US" w:eastAsia="zh-CN" w:bidi="ar"/>
              </w:rPr>
              <w:t>项目总面积</w:t>
            </w:r>
            <w:r>
              <w:rPr>
                <w:rStyle w:val="8"/>
                <w:lang w:val="en-US" w:eastAsia="zh-CN" w:bidi="ar"/>
              </w:rPr>
              <w:t>(m2)</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35705</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铺装总面积</w:t>
            </w:r>
          </w:p>
        </w:tc>
        <w:tc>
          <w:tcPr>
            <w:tcW w:w="13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17392</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普通铺装面积（</w:t>
            </w:r>
            <w:r>
              <w:rPr>
                <w:rStyle w:val="8"/>
                <w:lang w:val="en-US" w:eastAsia="zh-CN" w:bidi="ar"/>
              </w:rPr>
              <w:t>m2)</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6865</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7"/>
                <w:lang w:val="en-US" w:eastAsia="zh-CN" w:bidi="ar"/>
              </w:rPr>
              <w:t>透水铺装面积（</w:t>
            </w:r>
            <w:r>
              <w:rPr>
                <w:rStyle w:val="8"/>
                <w:lang w:val="en-US" w:eastAsia="zh-CN" w:bidi="ar"/>
              </w:rPr>
              <w:t>m2)</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10527</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雨水花园总面积（</w:t>
            </w:r>
            <w:r>
              <w:rPr>
                <w:rStyle w:val="8"/>
                <w:lang w:val="en-US" w:eastAsia="zh-CN" w:bidi="ar"/>
              </w:rPr>
              <w:t>m2)</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1400.8</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绿地总面积</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12257</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7"/>
                <w:lang w:val="en-US" w:eastAsia="zh-CN" w:bidi="ar"/>
              </w:rPr>
              <w:t>绿色</w:t>
            </w:r>
            <w:r>
              <w:rPr>
                <w:rStyle w:val="8"/>
                <w:lang w:val="en-US" w:eastAsia="zh-CN" w:bidi="ar"/>
              </w:rPr>
              <w:t>LID</w:t>
            </w:r>
            <w:r>
              <w:rPr>
                <w:rStyle w:val="7"/>
                <w:lang w:val="en-US" w:eastAsia="zh-CN" w:bidi="ar"/>
              </w:rPr>
              <w:t>设施占绿地比例</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rPr>
            </w:pPr>
            <w:r>
              <w:rPr>
                <w:rFonts w:hint="default" w:ascii="Tahoma" w:hAnsi="Tahoma" w:eastAsia="Tahoma" w:cs="Tahoma"/>
                <w:i w:val="0"/>
                <w:color w:val="auto"/>
                <w:kern w:val="0"/>
                <w:sz w:val="24"/>
                <w:szCs w:val="24"/>
                <w:u w:val="none"/>
                <w:lang w:val="en-US" w:eastAsia="zh-CN" w:bidi="ar"/>
              </w:rPr>
              <w:t>1</w:t>
            </w:r>
            <w:r>
              <w:rPr>
                <w:rFonts w:hint="eastAsia" w:ascii="Tahoma" w:hAnsi="Tahoma" w:eastAsia="Tahoma" w:cs="Tahoma"/>
                <w:i w:val="0"/>
                <w:color w:val="auto"/>
                <w:kern w:val="0"/>
                <w:sz w:val="24"/>
                <w:szCs w:val="24"/>
                <w:u w:val="none"/>
                <w:lang w:val="en-US" w:eastAsia="zh-CN" w:bidi="ar"/>
              </w:rPr>
              <w:t>1</w:t>
            </w:r>
            <w:r>
              <w:rPr>
                <w:rFonts w:hint="default" w:ascii="Tahoma" w:hAnsi="Tahoma" w:eastAsia="Tahoma" w:cs="Tahoma"/>
                <w:i w:val="0"/>
                <w:color w:val="auto"/>
                <w:kern w:val="0"/>
                <w:sz w:val="24"/>
                <w:szCs w:val="24"/>
                <w:u w:val="none"/>
                <w:lang w:val="en-US" w:eastAsia="zh-CN" w:bidi="ar"/>
              </w:rPr>
              <w:t>.</w:t>
            </w:r>
            <w:r>
              <w:rPr>
                <w:rFonts w:hint="eastAsia" w:ascii="Tahoma" w:hAnsi="Tahoma" w:eastAsia="Tahoma" w:cs="Tahoma"/>
                <w:i w:val="0"/>
                <w:color w:val="auto"/>
                <w:kern w:val="0"/>
                <w:sz w:val="24"/>
                <w:szCs w:val="24"/>
                <w:u w:val="none"/>
                <w:lang w:val="en-US" w:eastAsia="zh-CN" w:bidi="ar"/>
              </w:rPr>
              <w:t>10</w:t>
            </w:r>
            <w:r>
              <w:rPr>
                <w:rFonts w:hint="default" w:ascii="Tahoma" w:hAnsi="Tahoma" w:eastAsia="Tahoma" w:cs="Tahoma"/>
                <w:i w:val="0"/>
                <w:color w:val="auto"/>
                <w:kern w:val="0"/>
                <w:sz w:val="24"/>
                <w:szCs w:val="24"/>
                <w:u w:val="none"/>
                <w:lang w:val="en-US" w:eastAsia="zh-CN" w:bidi="ar"/>
              </w:rPr>
              <w:t>%</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7"/>
                <w:lang w:val="en-US" w:eastAsia="zh-CN" w:bidi="ar"/>
              </w:rPr>
              <w:t>屋顶绿化面积</w:t>
            </w:r>
            <w:r>
              <w:rPr>
                <w:rStyle w:val="8"/>
                <w:lang w:val="en-US" w:eastAsia="zh-CN" w:bidi="ar"/>
              </w:rPr>
              <w:t>(m2)</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2257</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7"/>
                <w:lang w:val="en-US" w:eastAsia="zh-CN" w:bidi="ar"/>
              </w:rPr>
              <w:t>植草沟长度（</w:t>
            </w:r>
            <w:r>
              <w:rPr>
                <w:rStyle w:val="8"/>
                <w:lang w:val="en-US" w:eastAsia="zh-CN" w:bidi="ar"/>
              </w:rPr>
              <w:t>m)</w:t>
            </w:r>
          </w:p>
        </w:tc>
        <w:tc>
          <w:tcPr>
            <w:tcW w:w="1377" w:type="pct"/>
            <w:tcBorders>
              <w:top w:val="single" w:color="000000" w:sz="4" w:space="0"/>
              <w:left w:val="single" w:color="000000" w:sz="4" w:space="0"/>
              <w:bottom w:val="single" w:color="000000" w:sz="4" w:space="0"/>
              <w:right w:val="single" w:color="000000" w:sz="4" w:space="0"/>
            </w:tcBorders>
            <w:shd w:val="clear" w:color="auto" w:fill="BDD7EE"/>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lang w:val="en-US"/>
              </w:rPr>
            </w:pPr>
            <w:r>
              <w:rPr>
                <w:rFonts w:hint="eastAsia" w:ascii="Tahoma" w:hAnsi="Tahoma" w:eastAsia="Tahoma" w:cs="Tahoma"/>
                <w:i w:val="0"/>
                <w:color w:val="auto"/>
                <w:kern w:val="0"/>
                <w:sz w:val="24"/>
                <w:szCs w:val="24"/>
                <w:u w:val="none"/>
                <w:lang w:val="en-US" w:eastAsia="zh-CN" w:bidi="ar"/>
              </w:rPr>
              <w:t>300</w:t>
            </w:r>
          </w:p>
        </w:tc>
      </w:tr>
      <w:tr>
        <w:tblPrEx>
          <w:tblCellMar>
            <w:top w:w="0" w:type="dxa"/>
            <w:left w:w="0" w:type="dxa"/>
            <w:bottom w:w="0" w:type="dxa"/>
            <w:right w:w="0" w:type="dxa"/>
          </w:tblCellMar>
        </w:tblPrEx>
        <w:trPr>
          <w:trHeight w:val="300" w:hRule="atLeast"/>
        </w:trPr>
        <w:tc>
          <w:tcPr>
            <w:tcW w:w="3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透水铺装率</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auto"/>
                <w:sz w:val="24"/>
                <w:szCs w:val="24"/>
                <w:u w:val="none"/>
              </w:rPr>
            </w:pPr>
            <w:r>
              <w:rPr>
                <w:rFonts w:hint="default" w:ascii="Tahoma" w:hAnsi="Tahoma" w:eastAsia="Tahoma" w:cs="Tahoma"/>
                <w:i w:val="0"/>
                <w:color w:val="auto"/>
                <w:kern w:val="0"/>
                <w:sz w:val="24"/>
                <w:szCs w:val="24"/>
                <w:u w:val="none"/>
                <w:lang w:val="en-US" w:eastAsia="zh-CN" w:bidi="ar"/>
              </w:rPr>
              <w:t>6</w:t>
            </w:r>
            <w:r>
              <w:rPr>
                <w:rFonts w:hint="eastAsia" w:ascii="Tahoma" w:hAnsi="Tahoma" w:eastAsia="Tahoma" w:cs="Tahoma"/>
                <w:i w:val="0"/>
                <w:color w:val="auto"/>
                <w:kern w:val="0"/>
                <w:sz w:val="24"/>
                <w:szCs w:val="24"/>
                <w:u w:val="none"/>
                <w:lang w:val="en-US" w:eastAsia="zh-CN" w:bidi="ar"/>
              </w:rPr>
              <w:t>0</w:t>
            </w:r>
            <w:r>
              <w:rPr>
                <w:rFonts w:hint="default" w:ascii="Tahoma" w:hAnsi="Tahoma" w:eastAsia="Tahoma" w:cs="Tahoma"/>
                <w:i w:val="0"/>
                <w:color w:val="auto"/>
                <w:kern w:val="0"/>
                <w:sz w:val="24"/>
                <w:szCs w:val="24"/>
                <w:u w:val="none"/>
                <w:lang w:val="en-US" w:eastAsia="zh-CN" w:bidi="ar"/>
              </w:rPr>
              <w:t>.</w:t>
            </w:r>
            <w:r>
              <w:rPr>
                <w:rFonts w:hint="eastAsia" w:ascii="Tahoma" w:hAnsi="Tahoma" w:eastAsia="Tahoma" w:cs="Tahoma"/>
                <w:i w:val="0"/>
                <w:color w:val="auto"/>
                <w:kern w:val="0"/>
                <w:sz w:val="24"/>
                <w:szCs w:val="24"/>
                <w:u w:val="none"/>
                <w:lang w:val="en-US" w:eastAsia="zh-CN" w:bidi="ar"/>
              </w:rPr>
              <w:t>53</w:t>
            </w:r>
            <w:r>
              <w:rPr>
                <w:rFonts w:hint="default" w:ascii="Tahoma" w:hAnsi="Tahoma" w:eastAsia="Tahoma" w:cs="Tahoma"/>
                <w:i w:val="0"/>
                <w:color w:val="auto"/>
                <w:kern w:val="0"/>
                <w:sz w:val="24"/>
                <w:szCs w:val="24"/>
                <w:u w:val="none"/>
                <w:lang w:val="en-US" w:eastAsia="zh-CN" w:bidi="ar"/>
              </w:rPr>
              <w:t>%</w:t>
            </w:r>
          </w:p>
        </w:tc>
      </w:tr>
    </w:tbl>
    <w:p>
      <w:pPr>
        <w:rPr>
          <w:rFonts w:hint="eastAsia"/>
          <w:kern w:val="0"/>
          <w:sz w:val="24"/>
          <w:szCs w:val="24"/>
          <w:lang w:val="en-US" w:eastAsia="zh-CN"/>
        </w:rPr>
      </w:pPr>
    </w:p>
    <w:p>
      <w:pPr>
        <w:rPr>
          <w:rFonts w:hint="eastAsia"/>
          <w:kern w:val="0"/>
          <w:sz w:val="24"/>
          <w:szCs w:val="24"/>
          <w:lang w:val="en-US" w:eastAsia="zh-CN"/>
        </w:rPr>
      </w:pPr>
    </w:p>
    <w:p>
      <w:pPr>
        <w:rPr>
          <w:rFonts w:hint="eastAsia"/>
          <w:kern w:val="0"/>
          <w:sz w:val="24"/>
          <w:szCs w:val="24"/>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F0288"/>
    <w:multiLevelType w:val="singleLevel"/>
    <w:tmpl w:val="D8FF028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E669AD"/>
    <w:rsid w:val="74BA0599"/>
    <w:rsid w:val="7D14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kern w:val="0"/>
      <w:sz w:val="20"/>
      <w:szCs w:val="20"/>
    </w:rPr>
  </w:style>
  <w:style w:type="paragraph" w:customStyle="1" w:styleId="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
    <w:name w:val="font21"/>
    <w:basedOn w:val="4"/>
    <w:uiPriority w:val="0"/>
    <w:rPr>
      <w:rFonts w:hint="eastAsia" w:ascii="宋体" w:hAnsi="宋体" w:eastAsia="宋体" w:cs="宋体"/>
      <w:b/>
      <w:color w:val="000000"/>
      <w:sz w:val="30"/>
      <w:szCs w:val="30"/>
      <w:u w:val="none"/>
    </w:rPr>
  </w:style>
  <w:style w:type="character" w:customStyle="1" w:styleId="7">
    <w:name w:val="font11"/>
    <w:basedOn w:val="4"/>
    <w:uiPriority w:val="0"/>
    <w:rPr>
      <w:rFonts w:hint="eastAsia" w:ascii="宋体" w:hAnsi="宋体" w:eastAsia="宋体" w:cs="宋体"/>
      <w:color w:val="000000"/>
      <w:sz w:val="24"/>
      <w:szCs w:val="24"/>
      <w:u w:val="none"/>
    </w:rPr>
  </w:style>
  <w:style w:type="character" w:customStyle="1" w:styleId="8">
    <w:name w:val="font01"/>
    <w:basedOn w:val="4"/>
    <w:uiPriority w:val="0"/>
    <w:rPr>
      <w:rFonts w:hint="default" w:ascii="Tahoma" w:hAnsi="Tahoma" w:eastAsia="Tahoma" w:cs="Tahoma"/>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2021-06-02T07:01:00Z</dcterms:created>
  <dc:creator>Administrator</dc:creator>
  <cp:lastModifiedBy>Administrator</cp:lastModifiedBy>
  <dcterms:modified xsi:type="dcterms:W3CDTF">2021-09-15T07:55:46Z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D63EFE618FAB48479E7A50C5A56306E3</vt:lpwstr>
  </property>
</Properties>
</file>